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AF5C57" w:rsidP="00AF5C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D470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 w:rsidR="0014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D470E7" w:rsidP="00AF5C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AF5C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.01.2017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0C00A5" w:rsidRPr="000C00A5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pt;height:52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0C00A5" w:rsidRPr="000C00A5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D470E7" w:rsidRDefault="00D470E7" w:rsidP="008C1256">
            <w:pPr>
              <w:jc w:val="center"/>
              <w:rPr>
                <w:i/>
                <w:sz w:val="52"/>
                <w:szCs w:val="56"/>
              </w:rPr>
            </w:pPr>
          </w:p>
          <w:p w:rsidR="008C1256" w:rsidRDefault="0091617B" w:rsidP="008C1256">
            <w:pPr>
              <w:jc w:val="center"/>
              <w:rPr>
                <w:sz w:val="52"/>
                <w:szCs w:val="56"/>
              </w:rPr>
            </w:pPr>
            <w:r>
              <w:rPr>
                <w:i/>
                <w:sz w:val="52"/>
                <w:szCs w:val="56"/>
              </w:rPr>
              <w:t xml:space="preserve"> </w:t>
            </w:r>
            <w:r w:rsidR="008C1256" w:rsidRPr="00C923F4">
              <w:rPr>
                <w:i/>
                <w:sz w:val="52"/>
                <w:szCs w:val="56"/>
              </w:rPr>
              <w:t>В НОМЕРЕ</w:t>
            </w:r>
            <w:r w:rsidR="008C1256" w:rsidRPr="00C923F4">
              <w:rPr>
                <w:sz w:val="52"/>
                <w:szCs w:val="56"/>
              </w:rPr>
              <w:t>:</w:t>
            </w:r>
          </w:p>
          <w:p w:rsidR="00EE0691" w:rsidRPr="00EE0691" w:rsidRDefault="00EE0691" w:rsidP="00AF5C57">
            <w:pPr>
              <w:pStyle w:val="a3"/>
              <w:numPr>
                <w:ilvl w:val="0"/>
                <w:numId w:val="27"/>
              </w:num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ВОСЬМОЙ СЕССИИ  07.11.2016 года № 1  « О ВНЕСЕНИИ ИЗМЕНЕНИЙ В УСТАВ ШИПИЦЫНСКОГО  СЕЛЬСОВЕТА ЧИСТООЗЕРНОГО РАЙОНА НОВОСИБИРСКОЙ ОБЛАСТИ», зарегистрировано в Главном управлении Министерства Юстиции  РФ по НСО  </w:t>
            </w:r>
          </w:p>
          <w:p w:rsidR="00D470E7" w:rsidRPr="00EE0691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D470E7" w:rsidRPr="00EE0691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P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D470E7" w:rsidRPr="00EE0691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Pr="00EE0691" w:rsidRDefault="00EE0691" w:rsidP="00EE069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Зарегистрировано в Главном управлении Министерства Юстиции  РФ по НСО  26.12.2016г  №  </w:t>
            </w:r>
            <w:r w:rsidRPr="00EE06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545293162016002</w:t>
            </w:r>
          </w:p>
          <w:p w:rsidR="00EE0691" w:rsidRPr="00EE0691" w:rsidRDefault="00EE0691" w:rsidP="00EE069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ШИПИЦЫНСКИЙ СЕЛЬСОВЕТ</w:t>
            </w:r>
          </w:p>
          <w:p w:rsidR="00EE0691" w:rsidRPr="00EE0691" w:rsidRDefault="00EE0691" w:rsidP="00EE069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EE0691" w:rsidRPr="00EE0691" w:rsidRDefault="00EE0691" w:rsidP="00EE069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ШИПИЦЫНСКОГО СЕЛЬСОВЕТА</w:t>
            </w:r>
          </w:p>
          <w:p w:rsidR="00EE0691" w:rsidRPr="00EE0691" w:rsidRDefault="00EE0691" w:rsidP="00EE069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t>(третьего созыва)</w:t>
            </w:r>
          </w:p>
          <w:p w:rsidR="00EE0691" w:rsidRPr="00EE0691" w:rsidRDefault="00EE0691" w:rsidP="00EE069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EE0691" w:rsidRPr="00EE0691" w:rsidRDefault="00EE0691" w:rsidP="00EE069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t>восьмой сессии</w:t>
            </w:r>
          </w:p>
          <w:p w:rsidR="00EE0691" w:rsidRPr="00EE0691" w:rsidRDefault="00EE0691" w:rsidP="00EE069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07.11.2016 года                                                                                           № 1 </w:t>
            </w:r>
          </w:p>
          <w:p w:rsidR="00EE0691" w:rsidRPr="00EE0691" w:rsidRDefault="00EE0691" w:rsidP="00EE0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ВНЕСЕНИИ ИЗМЕНЕНИЙ В УСТАВ ШИПИЦЫНСКОГО  СЕЛЬСОВЕТА ЧИСТООЗЕРНОГО РАЙОНА НОВОСИБИРСКОЙ ОБЛАСТИ</w:t>
            </w:r>
          </w:p>
          <w:p w:rsidR="00EE0691" w:rsidRPr="00EE0691" w:rsidRDefault="00EE0691" w:rsidP="00EE0691">
            <w:pPr>
              <w:shd w:val="clear" w:color="auto" w:fill="FFFFFF"/>
              <w:tabs>
                <w:tab w:val="left" w:leader="underscore" w:pos="2179"/>
              </w:tabs>
              <w:ind w:firstLine="7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Шипицынского  сельсовета Чистоозерного  района Новосибирской области</w:t>
            </w:r>
          </w:p>
          <w:p w:rsidR="00EE0691" w:rsidRPr="00EE0691" w:rsidRDefault="00EE0691" w:rsidP="00EE0691">
            <w:pPr>
              <w:shd w:val="clear" w:color="auto" w:fill="FFFFFF"/>
              <w:tabs>
                <w:tab w:val="left" w:leader="underscore" w:pos="2179"/>
              </w:tabs>
              <w:ind w:firstLine="710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РЕШИЛ:</w:t>
            </w:r>
          </w:p>
          <w:p w:rsidR="00EE0691" w:rsidRPr="00EE0691" w:rsidRDefault="00EE0691" w:rsidP="00EE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1.Принять муниципальный правовой акт о внесении изменении в Устав Шипицынского сельсовета</w:t>
            </w: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 Чистоозерного района  Новосибирской области</w:t>
            </w:r>
            <w:r w:rsidRPr="00EE06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(прилагается).                                                                                                                                     </w:t>
            </w: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Шипицынского сельсовета Чистоозерного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      </w:r>
          </w:p>
          <w:p w:rsidR="00EE0691" w:rsidRPr="00EE0691" w:rsidRDefault="00EE0691" w:rsidP="00EE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3.Главе Шипицынского  сельсовета Чистоозерного  района Новосибирской области опубликовать муниципальный правовой акт Шипицынского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Шипицынского  сельсовета Чистоозерного  района Новосибирской области для включения указанных сведений в государственный реестр уставов муниципальных</w:t>
            </w:r>
            <w:proofErr w:type="gramEnd"/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 Новосибирской области в 10-дневной срок.</w:t>
            </w:r>
          </w:p>
          <w:p w:rsidR="00EE0691" w:rsidRPr="00EE0691" w:rsidRDefault="00EE0691" w:rsidP="00EE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4. Настоящее решение вступает в силу после государственной регистрации и опубликования в периодическом печатном издании  «Вестник  МО Шипицынского </w:t>
            </w:r>
            <w:r w:rsidRPr="00EE0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сельсовета»</w:t>
            </w:r>
          </w:p>
          <w:p w:rsidR="00EE0691" w:rsidRPr="00EE0691" w:rsidRDefault="00EE0691" w:rsidP="00EE0691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   Глава  Шипицынского сельсовета                                                                                                Чистоозерного района                                                                                             Новосибирской области                                                     Н.В.Измайлова</w:t>
            </w:r>
          </w:p>
          <w:p w:rsidR="00EE0691" w:rsidRPr="00EE0691" w:rsidRDefault="00EE0691" w:rsidP="00EE06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Pr="00EE0691" w:rsidRDefault="00EE0691" w:rsidP="00EE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</w:t>
            </w:r>
          </w:p>
          <w:p w:rsidR="00EE0691" w:rsidRPr="00EE0691" w:rsidRDefault="00EE0691" w:rsidP="00EE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Шипицынского сельсовета</w:t>
            </w:r>
          </w:p>
          <w:p w:rsidR="00EE0691" w:rsidRPr="00EE0691" w:rsidRDefault="00EE0691" w:rsidP="00EE0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                                                                                                     Новосибирской области                                                   Н.В.Измайлова</w:t>
            </w:r>
          </w:p>
          <w:p w:rsidR="00EE0691" w:rsidRPr="00EE0691" w:rsidRDefault="00EE0691" w:rsidP="00EE06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P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E0691" w:rsidRP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восьмой сессии третьего созыва Совета депутатов Шипицынского сельсовета </w:t>
            </w:r>
          </w:p>
          <w:p w:rsidR="00EE0691" w:rsidRPr="00EE0691" w:rsidRDefault="00EE0691" w:rsidP="00EE0691">
            <w:pPr>
              <w:ind w:left="510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Чистоозерного  района </w:t>
            </w:r>
          </w:p>
          <w:p w:rsidR="00EE0691" w:rsidRP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E0691" w:rsidRP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от 07.11.2016 года № 1</w:t>
            </w:r>
          </w:p>
          <w:p w:rsidR="00EE0691" w:rsidRPr="00EE0691" w:rsidRDefault="00EE0691" w:rsidP="00EE0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УСТАВ ШИПИЦЫНСКОГО  СЕЛЬСОВЕТА ЧИСТООЗЕРНОГО РАЙОНА НОВОСИБИРСКОЙ ОБЛАСТИ</w:t>
            </w:r>
          </w:p>
          <w:p w:rsidR="00EE0691" w:rsidRPr="00EE0691" w:rsidRDefault="00EE0691" w:rsidP="00EE0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Pr="00EE0691" w:rsidRDefault="00EE0691" w:rsidP="00EE0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Pr="00EE0691" w:rsidRDefault="00EE0691" w:rsidP="00EE0691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069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нести в Устав Шипицынского  сельсовета</w:t>
            </w: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 Чистоозерного  района Новосибирской области следующие изменения:</w:t>
            </w:r>
          </w:p>
          <w:p w:rsidR="00EE0691" w:rsidRPr="00EE0691" w:rsidRDefault="00EE0691" w:rsidP="00EE06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  1.1.</w:t>
            </w: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Статью 6 « Права органов местного самоуправления поселения на решение вопросов, не отнесённых к вопросам местного значения поселения» дополнить пунктом 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      </w:r>
            <w:proofErr w:type="gramEnd"/>
          </w:p>
          <w:p w:rsidR="00EE0691" w:rsidRPr="00EE0691" w:rsidRDefault="00EE0691" w:rsidP="00EE0691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Pr="00EE0691" w:rsidRDefault="00EE0691" w:rsidP="00EE0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1.2.Статья 32. «Полномочия администрации» </w:t>
            </w: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   дополнить пунктом   </w:t>
            </w:r>
          </w:p>
          <w:p w:rsidR="00EE0691" w:rsidRPr="00EE0691" w:rsidRDefault="00EE0691" w:rsidP="00EE06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eastAsia="Times New Roman" w:hAnsi="Times New Roman" w:cs="Times New Roman"/>
                <w:sz w:val="28"/>
                <w:szCs w:val="28"/>
              </w:rPr>
              <w:t>63.2)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      </w:r>
          </w:p>
          <w:p w:rsidR="00EE0691" w:rsidRPr="00EE0691" w:rsidRDefault="00EE0691" w:rsidP="00EE06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0691" w:rsidRPr="00EE0691" w:rsidRDefault="00EE0691" w:rsidP="00EE06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1.3 Статья 33. «Избирательная комиссия Шипицынского  сельсовета Чистоозерного района Новосибирской области»</w:t>
            </w:r>
          </w:p>
          <w:p w:rsidR="00EE0691" w:rsidRPr="00EE0691" w:rsidRDefault="00EE0691" w:rsidP="00EE069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В пункте 6 подпункты е, е.1, ж  изложить в новой редакции:</w:t>
            </w:r>
          </w:p>
          <w:p w:rsidR="00EE0691" w:rsidRPr="00EE0691" w:rsidRDefault="00EE0691" w:rsidP="00EE069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</w:t>
            </w:r>
            <w:r w:rsidRPr="00EE06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текст и число открепительных удостоверений для голосования на выборах депутатов Совета депутатов;</w:t>
            </w:r>
          </w:p>
          <w:p w:rsidR="00EE0691" w:rsidRPr="00EE0691" w:rsidRDefault="00EE0691" w:rsidP="00EE069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eastAsia="Times New Roman" w:hAnsi="Times New Roman" w:cs="Times New Roman"/>
                <w:sz w:val="28"/>
                <w:szCs w:val="28"/>
              </w:rPr>
              <w:t>е.1) выдает открепительные удостоверения в случаях, предусмотренных законом;</w:t>
            </w:r>
          </w:p>
          <w:p w:rsidR="00EE0691" w:rsidRPr="00EE0691" w:rsidRDefault="00EE0691" w:rsidP="00EE069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eastAsia="Times New Roman" w:hAnsi="Times New Roman" w:cs="Times New Roman"/>
                <w:sz w:val="28"/>
                <w:szCs w:val="28"/>
              </w:rPr>
              <w:t>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референдума.</w:t>
            </w:r>
          </w:p>
          <w:p w:rsidR="00EE0691" w:rsidRPr="00EE0691" w:rsidRDefault="00EE0691" w:rsidP="00EE069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691" w:rsidRPr="00EE0691" w:rsidRDefault="00EE0691" w:rsidP="00EE0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EE0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Статья 43. «Ответственность главы Шипицынского сельсовета и главы местной администрации перед государством» </w:t>
            </w:r>
          </w:p>
          <w:p w:rsidR="00EE0691" w:rsidRPr="00EE0691" w:rsidRDefault="00EE0691" w:rsidP="00EE06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Пункт 2 части 1   изложить в новой редакции « совершения им действий, в том числе издания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 межбюджетных трансфертов, имеющих целевое назначение, бюджетных кредитов, нарушение</w:t>
            </w:r>
            <w:proofErr w:type="gramEnd"/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 </w:t>
            </w:r>
          </w:p>
          <w:p w:rsidR="00EE0691" w:rsidRPr="00EE0691" w:rsidRDefault="00EE0691" w:rsidP="00EE06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Pr="00EE0691" w:rsidRDefault="00EE0691" w:rsidP="00EE06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Глава  Шипицынского сельсовета</w:t>
            </w:r>
          </w:p>
          <w:p w:rsidR="00EE0691" w:rsidRPr="00EE0691" w:rsidRDefault="00EE0691" w:rsidP="00EE06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EE0691" w:rsidRPr="00EE0691" w:rsidRDefault="00EE0691" w:rsidP="00EE0691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            Н.В.Измайлова</w:t>
            </w:r>
          </w:p>
          <w:p w:rsidR="00EE0691" w:rsidRPr="00EE0691" w:rsidRDefault="00EE0691" w:rsidP="00EE06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Pr="00EE0691" w:rsidRDefault="00EE0691" w:rsidP="00EE06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0691" w:rsidRPr="00826951" w:rsidRDefault="00EE0691" w:rsidP="00EE0691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sz w:val="28"/>
                <w:szCs w:val="28"/>
              </w:rPr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7D51B8" w:rsidRDefault="007D51B8" w:rsidP="006C53D7">
            <w:pPr>
              <w:pStyle w:val="a3"/>
              <w:widowControl w:val="0"/>
              <w:suppressAutoHyphens/>
              <w:spacing w:after="0" w:line="240" w:lineRule="auto"/>
              <w:ind w:left="108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Наличие </w:t>
            </w:r>
            <w:proofErr w:type="spellStart"/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факторов может явиться основанием для отказа в государственной регистрации устава муниципального образования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Внесены поправки в Федеральные законы "Об общих принципах организации местного самоуправления в Российской Федерации", "О государственной регистрации уставов муниципальных образований" в части, касающейся, в том числе, порядка регистрации уставов муниципальных образований.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Уточнено, что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РФ, федеральных законов, конституции (устава) или законов субъекта РФ в целях приведения данного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устава в соответствие с этими нормативными правовыми актами.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Предусмотрена возможность обжалования решений об отказе в государственной регистрации или нарушения сроков государственной регистрации уставов муниципальных образований (муниципальных правовых актов о внесении изменений в устав муниципального образования) не только в суд, но и в Минюст России.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 случае утраты подлинника устава муниципального образования, подлинника муниципального правового акта о внесении изменений в устав муниципального образования регистрирующий орган по заявлению главы муниципального образования в течение 30 дней со дня поступления такого заявления выдает заверенную копию устава муниципального образования, заверенную копию муниципального правового акта о внесении изменений в устав муниципального образования.</w:t>
            </w:r>
            <w:proofErr w:type="gramEnd"/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</w:t>
            </w: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 Также, предусмотрено, что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уставом.</w:t>
            </w:r>
          </w:p>
          <w:p w:rsidR="00D470E7" w:rsidRPr="00D470E7" w:rsidRDefault="00D470E7" w:rsidP="00D470E7">
            <w:pPr>
              <w:spacing w:after="1" w:line="2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Конкретизированы полномочия органов власти по обеспечению качества и безопасности отдыха и оздоровления детей</w:t>
            </w:r>
          </w:p>
          <w:p w:rsidR="00D470E7" w:rsidRPr="00D470E7" w:rsidRDefault="00D470E7" w:rsidP="00D470E7">
            <w:pPr>
              <w:spacing w:after="1" w:line="2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D470E7" w:rsidRPr="00D470E7" w:rsidRDefault="00D470E7" w:rsidP="00D470E7">
            <w:pPr>
              <w:spacing w:after="1" w:line="2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Федеральным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D470E7">
                <w:rPr>
                  <w:rFonts w:ascii="Times New Roman" w:eastAsia="Times New Roman" w:hAnsi="Times New Roman"/>
                  <w:sz w:val="24"/>
                  <w:szCs w:val="24"/>
                </w:rPr>
                <w:t>закон</w:t>
              </w:r>
            </w:hyperlink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ом от 28.12.2016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Законом вносятся изменения в ряд федеральных законов.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 частности, устанавливается обязанность: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органов исполнительной власти субъектов РФ и органов местного самоуправления в пределах своих полномочий принимать меры, в том числе по созданию безопасных условий пребывания детей в организациях отдыха и оздоровления, обеспечению максимальной доступности услуг таких организаций, а также по </w:t>
            </w: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соблюдением требований законодательства в указанной сфере;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туроператоров, </w:t>
            </w:r>
            <w:proofErr w:type="spell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турагентов</w:t>
            </w:r>
            <w:proofErr w:type="spell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, организаций, осуществляющих экскурсионное обслуживание, соблюдать установленные требования к туристским маршрутам и порядку организации их прохождения несовершеннолетними туристами, а также уведомлять уполномоченные органы </w:t>
            </w:r>
            <w:proofErr w:type="spell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госвласти</w:t>
            </w:r>
            <w:proofErr w:type="spell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о месте, сроках и длительности прохождения таких маршрутов.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Вводится определение туристского маршрута.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>С 1 января 2017 года расширен перечень государственных услуг, предоставляемых в МФЦ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 перечне государственных услуг, предоставление которых организуется по принципу "одного окна" в МФЦ федеральными органами исполнительной власти и органами государственных внебюджетных фондов, к государственным услугам, предоставляемым ФСС РФ, отнесено, в том числе: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обеспечение инвалидов техническими средствами реабилитации или услугами и отдельных категорий граждан из числа ветеранов протезами (кроме зубных протезов), протезно-ортопедическими изделиями;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или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 предоставлении инвалидам технических средств реабилитации или услуг и отдельным категориям граждан из числа ветеранов протезов (кроме зубных протезов), протезно-ортопедических изделий.</w:t>
            </w:r>
            <w:proofErr w:type="gramEnd"/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Кроме того, в перечне государственных услуг, предоставление которых организуется по принципу "одного окна" в МФЦ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услуги, к услугам, предоставляемым ФНС России, отнесено бесплатное информирование (в том числе в письменной форме) плательщиков страховых взносов о страховых взносах, порядке их исчисления и уплаты, правах и обязанностях плательщиков (в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 приема запроса и выдачи справки об исполнении плательщиком страховых взносов обязанности по их уплате).</w:t>
            </w:r>
          </w:p>
          <w:p w:rsidR="00D470E7" w:rsidRPr="00D470E7" w:rsidRDefault="00D470E7" w:rsidP="00D470E7">
            <w:pPr>
              <w:spacing w:after="1" w:line="2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Закон о дополнительных мерах государственной поддержки семей, имеющих детей, приведен </w:t>
            </w: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 соответствие с действующим законодательством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С 1 января 2017 года вступил в силу Федеральный закон от 13.07.2015 N 218-ФЗ "О государственной регистрации недвижимости", в соответствии с которым свидетельство о праве собственности выдаваться не будет. Регистрация возникновения и перехода прав будет подтверждаться выпиской из Единого государственного реестра недвижимости о правах.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Соответствующая замена внесена в текст Закона о дополнительных мерах государственной поддержки семей, имеющих детей.</w:t>
            </w:r>
          </w:p>
          <w:p w:rsidR="00D470E7" w:rsidRPr="00D470E7" w:rsidRDefault="00D470E7" w:rsidP="00D47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>Уточнен порядок накопления средств фонда капитального ремонта и проведения такого ремонта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 частности, Федеральным законом установлено, что работы по капитальному ремонту могут включать в себя работы по замене и (или) восстановлению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Кроме того, Федеральным законом </w:t>
            </w: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скорректирован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осуществления </w:t>
            </w: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формированием фонда капитального ремонта;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срок вступления в силу решения о прекращении формирования фонда капитального ремонта на счете регионального оператора и его формирования на специальном счете;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порядок ведения специального счета и совершения операций по нему;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механизм принятия решения о проведении капитального ремонта при возникновении аварии, иных чрезвычайных ситуаций природного или техногенного характера.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Продлено на 2017 год осуществление единовременной компенсационной выплаты в размере 1 млн. рублей медицинским работникам, прибывшим для работы в сельскую местность</w:t>
            </w:r>
          </w:p>
          <w:p w:rsidR="00D470E7" w:rsidRPr="00D470E7" w:rsidRDefault="00D470E7" w:rsidP="00D470E7">
            <w:pPr>
              <w:spacing w:after="1" w:line="2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D470E7" w:rsidRPr="00D470E7" w:rsidRDefault="00D470E7" w:rsidP="00D470E7">
            <w:pPr>
              <w:spacing w:after="1" w:line="2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</w:t>
            </w:r>
            <w:hyperlink r:id="rId6" w:history="1">
              <w:r w:rsidRPr="00D470E7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от 28.12.2016 N 472-ФЗ "О внесении изменений в Федеральный закон "Об обязательном медицинском страховании в Российской Федерации" предусматривает, в частности, что в 2017 году осуществляются единовременные компенсационные выплаты медицинским работникам в возрасте до 50 лет, имеющим высшее образование, прибывшим в 2016 и 2017 годах на работу (или переехавшим на работу) в сельский населенный пункт, либо рабочий поселок, либо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поселок городского типа.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Также на 2017 год продлевается реализация программ модернизации здравоохранения субъектов РФ в целях обеспечения завершения мероприятий по проектированию, строительству и вводу в эксплуатацию перинатальных центров.</w:t>
            </w:r>
          </w:p>
          <w:p w:rsidR="00D470E7" w:rsidRPr="00D470E7" w:rsidRDefault="00D470E7" w:rsidP="00D470E7">
            <w:pPr>
              <w:spacing w:after="1" w:line="2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>Военнослужащим, проходящим военную службу по призыву, и гражданам, пребывающим в запасе, предоставлена возможность заключения краткосрочных контрактов о прохождении военной службы на любой срок в пределах одного года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Ранее краткосрочный контракт о прохождении военной службы заключался на срок от шести месяцев до одного года.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внесенным изменениям (Федеральный </w:t>
            </w:r>
            <w:hyperlink r:id="rId7" w:history="1">
              <w:r w:rsidRPr="00D470E7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от 28.12.2016 N 512-ФЗ "О внесении изменений в Федеральный закон "О воинской обязанности и военной службе") в целях поддержания требуемого уровня укомплектованности военнослужащими, проходящими военную службу по контракту, воинских частей и подразделений, привлекаемых для решения задач в период чрезвычайных обстоятельств или для участия в деятельности по поддержанию или восстановлению международного мира и безопасности либо по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пресечению международной террористической деятельности за пределами территории РФ, а также для участия в походах кораблей, контракт о прохождении военной службы теперь может быть заключен на любой срок до одного года.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Определена совокупность мероприятий по обеспечению антитеррористической защищенности объектов водоснабжения и водоотведения и порядок разработки паспорта безопасности таких объектов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Требованиями устанавливается, в частности: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- перечень объектов водоснабжения и водоотведения, на которые не распространяется действие требований;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- порядок категорирования объектов водоснабжения и водоотведения;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- перечень применяемых мер по обеспечению антитеррористической защищенности объектов водоснабжения и водоотведения;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- порядок информирования об угрозе совершения или о совершении террористических актов на объектах водоснабжения и водоотведения и реагирования на полученную информацию;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- порядок осуществления </w:t>
            </w: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выполнением требований антитеррористической защищенности объектов водоснабжения и водоотведения.</w:t>
            </w:r>
          </w:p>
          <w:p w:rsidR="00D470E7" w:rsidRPr="00D470E7" w:rsidRDefault="00D470E7" w:rsidP="00D47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Кроме того, Постановлением Правительства РФ от 23.12.2016 N 1467 установлена форма паспорта безопасности объекта водоснабжения и водоотведения. В нем содержится, в частности, следующая информация: общие сведения об объекте; возможные последствия совершения террористического акта на объекте; меры антитеррористической защищенности объекта; дополнительные сведения с учетом особенностей объекта водоснабжения и водоотведения. Паспорт составляется должностным лицом, осуществляющим непосредственное руководство деятельностью работников на объекте водоснабжения и водоотведения, согласовывается с территориальным органом безопасности и территориальным органом безопасности и территориальными органами </w:t>
            </w:r>
            <w:proofErr w:type="spellStart"/>
            <w:r w:rsidRPr="00D470E7">
              <w:rPr>
                <w:rFonts w:ascii="Times New Roman" w:hAnsi="Times New Roman" w:cs="Times New Roman"/>
                <w:sz w:val="24"/>
                <w:szCs w:val="24"/>
              </w:rPr>
              <w:t>Росгваридии</w:t>
            </w:r>
            <w:proofErr w:type="spellEnd"/>
            <w:r w:rsidRPr="00D470E7">
              <w:rPr>
                <w:rFonts w:ascii="Times New Roman" w:hAnsi="Times New Roman" w:cs="Times New Roman"/>
                <w:sz w:val="24"/>
                <w:szCs w:val="24"/>
              </w:rPr>
              <w:t xml:space="preserve"> и МЧС России по месту нахождения объекта, а также с уполномоченным органом субъекта РФ и утверждается руководителем эксплуатирующей организации, либо уполномоченным им заместителем. Паспорт имеет пометку "Для служебного пользования", если в соответствии с законодательством РФ ему не присваивается гриф секретности. Срок действия паспорта безопасности составляет 5 лет.</w:t>
            </w:r>
          </w:p>
          <w:p w:rsidR="00D470E7" w:rsidRPr="00D470E7" w:rsidRDefault="00D470E7" w:rsidP="00D470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470E7" w:rsidRPr="00D470E7" w:rsidRDefault="00D470E7" w:rsidP="00D470E7">
            <w:pPr>
              <w:pStyle w:val="a6"/>
              <w:spacing w:before="0" w:beforeAutospacing="0" w:after="0" w:afterAutospacing="0"/>
              <w:jc w:val="both"/>
            </w:pPr>
            <w:r w:rsidRPr="00D470E7">
              <w:t xml:space="preserve"> </w:t>
            </w:r>
          </w:p>
          <w:p w:rsidR="00D470E7" w:rsidRPr="002F5609" w:rsidRDefault="00D470E7" w:rsidP="00D47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18F0" w:rsidRPr="00BF18F0" w:rsidRDefault="00BF18F0" w:rsidP="00BF18F0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</w:p>
        </w:tc>
      </w:tr>
    </w:tbl>
    <w:p w:rsidR="00AF1B59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Pr="00BF18F0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sectPr w:rsidR="00E2225F" w:rsidRPr="00BF18F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776"/>
    <w:multiLevelType w:val="hybridMultilevel"/>
    <w:tmpl w:val="423EA8AA"/>
    <w:lvl w:ilvl="0" w:tplc="5CEE73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6AD67D8"/>
    <w:multiLevelType w:val="hybridMultilevel"/>
    <w:tmpl w:val="F0186A8E"/>
    <w:lvl w:ilvl="0" w:tplc="6B38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C03F9"/>
    <w:multiLevelType w:val="hybridMultilevel"/>
    <w:tmpl w:val="5DEA7892"/>
    <w:lvl w:ilvl="0" w:tplc="58868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>
    <w:nsid w:val="3FF443E7"/>
    <w:multiLevelType w:val="hybridMultilevel"/>
    <w:tmpl w:val="C07E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E710F0A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078BB"/>
    <w:multiLevelType w:val="hybridMultilevel"/>
    <w:tmpl w:val="B284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4">
    <w:nsid w:val="600D2035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20C10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7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A4BEB"/>
    <w:multiLevelType w:val="hybridMultilevel"/>
    <w:tmpl w:val="F72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60AE"/>
    <w:multiLevelType w:val="hybridMultilevel"/>
    <w:tmpl w:val="559E082A"/>
    <w:lvl w:ilvl="0" w:tplc="60FE65DE">
      <w:start w:val="1"/>
      <w:numFmt w:val="decimal"/>
      <w:lvlText w:val="%1."/>
      <w:lvlJc w:val="left"/>
      <w:pPr>
        <w:ind w:left="5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>
    <w:nsid w:val="77B9480F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4"/>
  </w:num>
  <w:num w:numId="4">
    <w:abstractNumId w:val="9"/>
  </w:num>
  <w:num w:numId="5">
    <w:abstractNumId w:val="3"/>
  </w:num>
  <w:num w:numId="6">
    <w:abstractNumId w:val="22"/>
  </w:num>
  <w:num w:numId="7">
    <w:abstractNumId w:val="19"/>
  </w:num>
  <w:num w:numId="8">
    <w:abstractNumId w:val="7"/>
  </w:num>
  <w:num w:numId="9">
    <w:abstractNumId w:val="8"/>
  </w:num>
  <w:num w:numId="10">
    <w:abstractNumId w:val="24"/>
  </w:num>
  <w:num w:numId="11">
    <w:abstractNumId w:val="13"/>
  </w:num>
  <w:num w:numId="12">
    <w:abstractNumId w:val="11"/>
  </w:num>
  <w:num w:numId="13">
    <w:abstractNumId w:val="5"/>
  </w:num>
  <w:num w:numId="14">
    <w:abstractNumId w:val="16"/>
  </w:num>
  <w:num w:numId="15">
    <w:abstractNumId w:val="10"/>
  </w:num>
  <w:num w:numId="16">
    <w:abstractNumId w:val="14"/>
  </w:num>
  <w:num w:numId="17">
    <w:abstractNumId w:val="12"/>
  </w:num>
  <w:num w:numId="18">
    <w:abstractNumId w:val="15"/>
  </w:num>
  <w:num w:numId="19">
    <w:abstractNumId w:val="2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"/>
  </w:num>
  <w:num w:numId="24">
    <w:abstractNumId w:val="1"/>
  </w:num>
  <w:num w:numId="25">
    <w:abstractNumId w:val="2"/>
  </w:num>
  <w:num w:numId="26">
    <w:abstractNumId w:val="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59"/>
    <w:rsid w:val="0000176C"/>
    <w:rsid w:val="000440B3"/>
    <w:rsid w:val="000C00A5"/>
    <w:rsid w:val="000E6944"/>
    <w:rsid w:val="0010275D"/>
    <w:rsid w:val="0014313C"/>
    <w:rsid w:val="00145EA8"/>
    <w:rsid w:val="00152D81"/>
    <w:rsid w:val="002158AE"/>
    <w:rsid w:val="00283EA0"/>
    <w:rsid w:val="002C2731"/>
    <w:rsid w:val="002E2A7C"/>
    <w:rsid w:val="002F0EEA"/>
    <w:rsid w:val="003A7CC7"/>
    <w:rsid w:val="003C259E"/>
    <w:rsid w:val="004508F0"/>
    <w:rsid w:val="0047239D"/>
    <w:rsid w:val="004C49AC"/>
    <w:rsid w:val="00530C21"/>
    <w:rsid w:val="00547060"/>
    <w:rsid w:val="00574688"/>
    <w:rsid w:val="00597C89"/>
    <w:rsid w:val="005E1927"/>
    <w:rsid w:val="005F7B2C"/>
    <w:rsid w:val="006469EF"/>
    <w:rsid w:val="00666B28"/>
    <w:rsid w:val="00682CA4"/>
    <w:rsid w:val="006C53D7"/>
    <w:rsid w:val="006F2C71"/>
    <w:rsid w:val="0074597E"/>
    <w:rsid w:val="00767662"/>
    <w:rsid w:val="007D51B8"/>
    <w:rsid w:val="007D6E5C"/>
    <w:rsid w:val="0083646E"/>
    <w:rsid w:val="0084089A"/>
    <w:rsid w:val="00893718"/>
    <w:rsid w:val="008C1256"/>
    <w:rsid w:val="008D3470"/>
    <w:rsid w:val="008D626E"/>
    <w:rsid w:val="0091617B"/>
    <w:rsid w:val="00985F5A"/>
    <w:rsid w:val="00995BB2"/>
    <w:rsid w:val="009B16F7"/>
    <w:rsid w:val="009B66B0"/>
    <w:rsid w:val="00A37865"/>
    <w:rsid w:val="00A647BB"/>
    <w:rsid w:val="00A67A54"/>
    <w:rsid w:val="00A874EA"/>
    <w:rsid w:val="00AF1B59"/>
    <w:rsid w:val="00AF5C57"/>
    <w:rsid w:val="00BA1DA3"/>
    <w:rsid w:val="00BB16BE"/>
    <w:rsid w:val="00BD08BE"/>
    <w:rsid w:val="00BF18F0"/>
    <w:rsid w:val="00C26413"/>
    <w:rsid w:val="00C37BAA"/>
    <w:rsid w:val="00C649C5"/>
    <w:rsid w:val="00C82C91"/>
    <w:rsid w:val="00C923F4"/>
    <w:rsid w:val="00CA6A60"/>
    <w:rsid w:val="00CB4E57"/>
    <w:rsid w:val="00D470E7"/>
    <w:rsid w:val="00D91CB7"/>
    <w:rsid w:val="00DA1376"/>
    <w:rsid w:val="00DC696D"/>
    <w:rsid w:val="00DF32B7"/>
    <w:rsid w:val="00E2225F"/>
    <w:rsid w:val="00EA4A18"/>
    <w:rsid w:val="00EB09C9"/>
    <w:rsid w:val="00EC2EFD"/>
    <w:rsid w:val="00EE0691"/>
    <w:rsid w:val="00F46734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145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5EA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5E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45E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45EA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91617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1617B"/>
  </w:style>
  <w:style w:type="paragraph" w:styleId="af0">
    <w:name w:val="Body Text Indent"/>
    <w:basedOn w:val="a"/>
    <w:link w:val="af1"/>
    <w:uiPriority w:val="99"/>
    <w:unhideWhenUsed/>
    <w:rsid w:val="009161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1617B"/>
  </w:style>
  <w:style w:type="character" w:styleId="af2">
    <w:name w:val="Hyperlink"/>
    <w:basedOn w:val="a0"/>
    <w:uiPriority w:val="99"/>
    <w:unhideWhenUsed/>
    <w:rsid w:val="00574688"/>
    <w:rPr>
      <w:color w:val="0000FF"/>
      <w:u w:val="single"/>
    </w:rPr>
  </w:style>
  <w:style w:type="paragraph" w:customStyle="1" w:styleId="rtecenter">
    <w:name w:val="rtecenter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1B543CDB610F52155CE3C32DACE6F7B6C1A749EB05A81528FFF2C56CB3U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35BD4B8D4B24B8D008202B58433B9B68757C6ABE2A93B9501319A202JAF1F" TargetMode="External"/><Relationship Id="rId5" Type="http://schemas.openxmlformats.org/officeDocument/2006/relationships/hyperlink" Target="consultantplus://offline/ref=D488665D87F6C42D32E757B10A57A00E36B07FD3F7F3310D3A251BCA84k7u1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33</cp:revision>
  <cp:lastPrinted>2017-01-16T06:19:00Z</cp:lastPrinted>
  <dcterms:created xsi:type="dcterms:W3CDTF">2014-11-24T11:25:00Z</dcterms:created>
  <dcterms:modified xsi:type="dcterms:W3CDTF">2017-01-16T06:20:00Z</dcterms:modified>
</cp:coreProperties>
</file>