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040"/>
      </w:tblGrid>
      <w:tr w:rsidR="00C923F4" w:rsidTr="00EA4A18">
        <w:trPr>
          <w:trHeight w:val="14316"/>
        </w:trPr>
        <w:tc>
          <w:tcPr>
            <w:tcW w:w="11040" w:type="dxa"/>
          </w:tcPr>
          <w:tbl>
            <w:tblPr>
              <w:tblStyle w:val="a4"/>
              <w:tblW w:w="9323" w:type="dxa"/>
              <w:tblInd w:w="1063" w:type="dxa"/>
              <w:tblLook w:val="04A0"/>
            </w:tblPr>
            <w:tblGrid>
              <w:gridCol w:w="1101"/>
              <w:gridCol w:w="6662"/>
              <w:gridCol w:w="1560"/>
            </w:tblGrid>
            <w:tr w:rsidR="00C923F4" w:rsidTr="00EA4A18">
              <w:tc>
                <w:tcPr>
                  <w:tcW w:w="1101" w:type="dxa"/>
                </w:tcPr>
                <w:p w:rsidR="0047239D" w:rsidRDefault="00C923F4" w:rsidP="002F0EE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DC0D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</w:t>
                  </w:r>
                  <w:r w:rsidR="0047239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</w:p>
                <w:p w:rsidR="00C923F4" w:rsidRPr="0047239D" w:rsidRDefault="009B16F7" w:rsidP="00985F5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2</w:t>
                  </w:r>
                  <w:r w:rsidR="00985F5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5</w:t>
                  </w:r>
                  <w:r w:rsidR="0047239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r w:rsidR="004723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(</w:t>
                  </w:r>
                  <w:r w:rsidR="0047239D" w:rsidRPr="004723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</w:t>
                  </w:r>
                  <w:r w:rsidR="00985F5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8</w:t>
                  </w:r>
                  <w:r w:rsidR="00C923F4" w:rsidRPr="004723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C923F4" w:rsidRPr="00816790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Периодическое печатное издание органов местного самоуправления </w:t>
                  </w:r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Шипицынского</w:t>
                  </w:r>
                  <w:proofErr w:type="spellEnd"/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сельсовета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Чистоозерного района Новосибирской области</w:t>
                  </w:r>
                </w:p>
                <w:p w:rsidR="00C923F4" w:rsidRPr="00816790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60" w:type="dxa"/>
                </w:tcPr>
                <w:p w:rsidR="00C923F4" w:rsidRPr="00DC0DDF" w:rsidRDefault="009B16F7" w:rsidP="00985F5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</w:t>
                  </w:r>
                  <w:r w:rsidR="00985F5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</w:t>
                  </w:r>
                  <w:r w:rsidR="002F0E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11</w:t>
                  </w:r>
                  <w:r w:rsidR="00C923F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.2014 г.</w:t>
                  </w:r>
                </w:p>
              </w:tc>
            </w:tr>
          </w:tbl>
          <w:p w:rsidR="00C923F4" w:rsidRDefault="00C923F4" w:rsidP="00EA4A18">
            <w:pPr>
              <w:ind w:left="1176"/>
            </w:pPr>
          </w:p>
          <w:p w:rsidR="00C923F4" w:rsidRDefault="00C923F4" w:rsidP="00EA4A18">
            <w:pPr>
              <w:ind w:left="1176"/>
            </w:pPr>
          </w:p>
          <w:p w:rsidR="00C923F4" w:rsidRDefault="00C923F4" w:rsidP="00EA4A18">
            <w:pPr>
              <w:ind w:left="1176"/>
            </w:pPr>
          </w:p>
          <w:p w:rsidR="00C923F4" w:rsidRPr="006C785D" w:rsidRDefault="00C923F4" w:rsidP="00EA4A18">
            <w:pPr>
              <w:ind w:left="1176"/>
              <w:rPr>
                <w:color w:val="000000" w:themeColor="text1"/>
              </w:rPr>
            </w:pPr>
            <w:r>
              <w:rPr>
                <w:b/>
              </w:rPr>
              <w:t xml:space="preserve">                                               </w:t>
            </w:r>
            <w:r w:rsidR="0010275D" w:rsidRPr="0010275D">
              <w:rPr>
                <w:b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25pt;height:51.7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DC0DDF" w:rsidRDefault="00C923F4" w:rsidP="00EA4A18">
            <w:pPr>
              <w:ind w:left="1176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="0010275D" w:rsidRPr="0010275D">
              <w:rPr>
                <w:b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pt;height:51.7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DC0DDF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rPr>
                <w:b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C923F4" w:rsidTr="00EA4A18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EE48CE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Администрация МО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Шипицынского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EE48CE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5A4767" w:rsidTr="00EA4A18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Редактор:</w:t>
                  </w:r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jc w:val="center"/>
              <w:rPr>
                <w:b/>
                <w:sz w:val="56"/>
                <w:szCs w:val="56"/>
              </w:rPr>
            </w:pPr>
          </w:p>
          <w:p w:rsidR="00C923F4" w:rsidRDefault="00C923F4" w:rsidP="00EA4A18">
            <w:pPr>
              <w:jc w:val="center"/>
              <w:rPr>
                <w:b/>
                <w:i/>
                <w:sz w:val="56"/>
                <w:szCs w:val="56"/>
              </w:rPr>
            </w:pPr>
          </w:p>
          <w:p w:rsidR="00C923F4" w:rsidRPr="00C923F4" w:rsidRDefault="00C923F4" w:rsidP="00EA4A18">
            <w:pPr>
              <w:jc w:val="center"/>
              <w:rPr>
                <w:sz w:val="52"/>
                <w:szCs w:val="56"/>
              </w:rPr>
            </w:pPr>
            <w:r w:rsidRPr="00C923F4">
              <w:rPr>
                <w:i/>
                <w:sz w:val="52"/>
                <w:szCs w:val="56"/>
              </w:rPr>
              <w:t>В НОМЕРЕ</w:t>
            </w:r>
            <w:r w:rsidRPr="00C923F4">
              <w:rPr>
                <w:sz w:val="52"/>
                <w:szCs w:val="56"/>
              </w:rPr>
              <w:t>:</w:t>
            </w:r>
          </w:p>
          <w:p w:rsidR="00985F5A" w:rsidRPr="00EF091F" w:rsidRDefault="00985F5A" w:rsidP="00985F5A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90" w:afterAutospacing="0" w:line="290" w:lineRule="atLeast"/>
              <w:rPr>
                <w:rFonts w:ascii="Helvetica" w:hAnsi="Helvetica" w:cs="Helvetica"/>
                <w:b/>
                <w:color w:val="141823"/>
                <w:sz w:val="21"/>
                <w:szCs w:val="21"/>
              </w:rPr>
            </w:pPr>
            <w:r w:rsidRPr="00985F5A">
              <w:rPr>
                <w:b/>
                <w:color w:val="141823"/>
                <w:sz w:val="28"/>
                <w:szCs w:val="21"/>
              </w:rPr>
              <w:t xml:space="preserve">Требования при реализации продукции подлежащей </w:t>
            </w:r>
            <w:r>
              <w:rPr>
                <w:b/>
                <w:color w:val="141823"/>
                <w:sz w:val="28"/>
                <w:szCs w:val="21"/>
              </w:rPr>
              <w:t xml:space="preserve">                                                  </w:t>
            </w:r>
            <w:r w:rsidRPr="00985F5A">
              <w:rPr>
                <w:b/>
                <w:color w:val="141823"/>
                <w:sz w:val="28"/>
                <w:szCs w:val="21"/>
              </w:rPr>
              <w:t>обязательной сертификации</w:t>
            </w:r>
            <w:r>
              <w:rPr>
                <w:rFonts w:ascii="Helvetica" w:hAnsi="Helvetica" w:cs="Helvetica"/>
                <w:b/>
                <w:color w:val="141823"/>
                <w:sz w:val="21"/>
                <w:szCs w:val="21"/>
              </w:rPr>
              <w:t>.</w:t>
            </w:r>
          </w:p>
          <w:p w:rsidR="00C923F4" w:rsidRPr="009B16F7" w:rsidRDefault="00C923F4" w:rsidP="00985F5A">
            <w:pPr>
              <w:pStyle w:val="a6"/>
              <w:shd w:val="clear" w:color="auto" w:fill="FFFFFF"/>
              <w:spacing w:before="0" w:beforeAutospacing="0" w:after="90" w:afterAutospacing="0" w:line="290" w:lineRule="atLeast"/>
              <w:rPr>
                <w:b/>
                <w:color w:val="141823"/>
              </w:rPr>
            </w:pPr>
          </w:p>
        </w:tc>
      </w:tr>
    </w:tbl>
    <w:p w:rsidR="00985F5A" w:rsidRPr="00EF091F" w:rsidRDefault="00985F5A" w:rsidP="00985F5A">
      <w:pPr>
        <w:pStyle w:val="a6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b/>
          <w:color w:val="141823"/>
          <w:sz w:val="21"/>
          <w:szCs w:val="21"/>
        </w:rPr>
      </w:pPr>
      <w:r w:rsidRPr="00EF091F">
        <w:rPr>
          <w:rFonts w:ascii="Helvetica" w:hAnsi="Helvetica" w:cs="Helvetica"/>
          <w:b/>
          <w:color w:val="141823"/>
          <w:sz w:val="21"/>
          <w:szCs w:val="21"/>
        </w:rPr>
        <w:lastRenderedPageBreak/>
        <w:t>"Требования при реализации продукции подлежащей обязательной сертификации"</w:t>
      </w:r>
    </w:p>
    <w:p w:rsidR="00985F5A" w:rsidRDefault="00985F5A" w:rsidP="00985F5A">
      <w:pPr>
        <w:pStyle w:val="a6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При проведении плановых/внеплановых проверок ОНД по Чистоозерному</w:t>
      </w:r>
      <w:bookmarkStart w:id="0" w:name="_GoBack"/>
      <w:bookmarkEnd w:id="0"/>
      <w:r>
        <w:rPr>
          <w:rFonts w:ascii="Helvetica" w:hAnsi="Helvetica" w:cs="Helvetica"/>
          <w:color w:val="141823"/>
          <w:sz w:val="21"/>
          <w:szCs w:val="21"/>
        </w:rPr>
        <w:t xml:space="preserve"> району проверяет соответствие продукции подлежащей обязательному подтверждению требованиям технического регламента о требованиях пожарной безопасности (Федеральный закон «Технический регламент о требованиях пожарной безопасности» ФЗ №123.(далее </w:t>
      </w:r>
      <w:proofErr w:type="gramStart"/>
      <w:r>
        <w:rPr>
          <w:rFonts w:ascii="Helvetica" w:hAnsi="Helvetica" w:cs="Helvetica"/>
          <w:color w:val="141823"/>
          <w:sz w:val="21"/>
          <w:szCs w:val="21"/>
        </w:rPr>
        <w:t>ТР</w:t>
      </w:r>
      <w:proofErr w:type="gramEnd"/>
      <w:r>
        <w:rPr>
          <w:rFonts w:ascii="Helvetica" w:hAnsi="Helvetica" w:cs="Helvetica"/>
          <w:color w:val="141823"/>
          <w:sz w:val="21"/>
          <w:szCs w:val="21"/>
        </w:rPr>
        <w:t xml:space="preserve"> о ПБ )</w:t>
      </w:r>
    </w:p>
    <w:p w:rsidR="00985F5A" w:rsidRDefault="00985F5A" w:rsidP="00985F5A">
      <w:pPr>
        <w:pStyle w:val="a6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proofErr w:type="gramStart"/>
      <w:r>
        <w:rPr>
          <w:rFonts w:ascii="Helvetica" w:hAnsi="Helvetica" w:cs="Helvetica"/>
          <w:color w:val="141823"/>
          <w:sz w:val="21"/>
          <w:szCs w:val="21"/>
        </w:rPr>
        <w:t>Обязательному подтверждению в форме декларирования подлежат:</w:t>
      </w:r>
      <w:r>
        <w:rPr>
          <w:rFonts w:ascii="Helvetica" w:hAnsi="Helvetica" w:cs="Helvetica"/>
          <w:color w:val="141823"/>
          <w:sz w:val="21"/>
          <w:szCs w:val="21"/>
        </w:rPr>
        <w:br/>
        <w:t>1) Вещества и материалы, за исключением:</w:t>
      </w:r>
      <w:r>
        <w:rPr>
          <w:rFonts w:ascii="Helvetica" w:hAnsi="Helvetica" w:cs="Helvetica"/>
          <w:color w:val="141823"/>
          <w:sz w:val="21"/>
          <w:szCs w:val="21"/>
        </w:rPr>
        <w:br/>
        <w:t>· строительные материалы;</w:t>
      </w:r>
      <w:r>
        <w:rPr>
          <w:rFonts w:ascii="Helvetica" w:hAnsi="Helvetica" w:cs="Helvetica"/>
          <w:color w:val="141823"/>
          <w:sz w:val="21"/>
          <w:szCs w:val="21"/>
        </w:rPr>
        <w:br/>
        <w:t>· отделочные материалы для подвижного состава железнодорожного транспорта и метрополитена;</w:t>
      </w:r>
      <w:r>
        <w:rPr>
          <w:rFonts w:ascii="Helvetica" w:hAnsi="Helvetica" w:cs="Helvetica"/>
          <w:color w:val="141823"/>
          <w:sz w:val="21"/>
          <w:szCs w:val="21"/>
        </w:rPr>
        <w:br/>
        <w:t>· огнезащитные и огнетушащие вещества.</w:t>
      </w:r>
      <w:r>
        <w:rPr>
          <w:rFonts w:ascii="Helvetica" w:hAnsi="Helvetica" w:cs="Helvetica"/>
          <w:color w:val="141823"/>
          <w:sz w:val="21"/>
          <w:szCs w:val="21"/>
        </w:rPr>
        <w:br/>
        <w:t>2) Газовые огнетушащие составы, за исключением азота, аргона, двуокиси углерода с содержанием основного вещества в перечисленных газах более 95 процентов;</w:t>
      </w:r>
      <w:r>
        <w:rPr>
          <w:rFonts w:ascii="Helvetica" w:hAnsi="Helvetica" w:cs="Helvetica"/>
          <w:color w:val="141823"/>
          <w:sz w:val="21"/>
          <w:szCs w:val="21"/>
        </w:rPr>
        <w:br/>
        <w:t>3) первичных средств пожаротушения, за исключением огнетушителей;</w:t>
      </w:r>
      <w:proofErr w:type="gramEnd"/>
      <w:r>
        <w:rPr>
          <w:rFonts w:ascii="Helvetica" w:hAnsi="Helvetica" w:cs="Helvetica"/>
          <w:color w:val="141823"/>
          <w:sz w:val="21"/>
          <w:szCs w:val="21"/>
        </w:rPr>
        <w:br/>
      </w:r>
      <w:proofErr w:type="gramStart"/>
      <w:r>
        <w:rPr>
          <w:rFonts w:ascii="Helvetica" w:hAnsi="Helvetica" w:cs="Helvetica"/>
          <w:color w:val="141823"/>
          <w:sz w:val="21"/>
          <w:szCs w:val="21"/>
        </w:rPr>
        <w:t>4) пожарного инструмента;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5) пожарного оборудования, за исключением пожарных стволов,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пеногенераторов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пеносмесителей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и пожарных рукавов;</w:t>
      </w:r>
      <w:r>
        <w:rPr>
          <w:rFonts w:ascii="Helvetica" w:hAnsi="Helvetica" w:cs="Helvetica"/>
          <w:color w:val="141823"/>
          <w:sz w:val="21"/>
          <w:szCs w:val="21"/>
        </w:rPr>
        <w:br/>
        <w:t>(в ред. Федерального закона от 10.07.2012 N 117-ФЗ)</w:t>
      </w:r>
      <w:r>
        <w:rPr>
          <w:rFonts w:ascii="Helvetica" w:hAnsi="Helvetica" w:cs="Helvetica"/>
          <w:color w:val="141823"/>
          <w:sz w:val="21"/>
          <w:szCs w:val="21"/>
        </w:rPr>
        <w:br/>
        <w:t>6) строительных материалов, не применяемых для отделки путей эвакуации людей непосредственно наружу или в безопасную зону;</w:t>
      </w:r>
      <w:r>
        <w:rPr>
          <w:rFonts w:ascii="Helvetica" w:hAnsi="Helvetica" w:cs="Helvetica"/>
          <w:color w:val="141823"/>
          <w:sz w:val="21"/>
          <w:szCs w:val="21"/>
        </w:rPr>
        <w:br/>
        <w:t>7) материалов специальной защитной одежды;</w:t>
      </w:r>
      <w:r>
        <w:rPr>
          <w:rFonts w:ascii="Helvetica" w:hAnsi="Helvetica" w:cs="Helvetica"/>
          <w:color w:val="141823"/>
          <w:sz w:val="21"/>
          <w:szCs w:val="21"/>
        </w:rPr>
        <w:br/>
        <w:t>(п. 7 в ред. Федерального закона от 10.07.2012 N 117-ФЗ)</w:t>
      </w:r>
      <w:r>
        <w:rPr>
          <w:rFonts w:ascii="Helvetica" w:hAnsi="Helvetica" w:cs="Helvetica"/>
          <w:color w:val="141823"/>
          <w:sz w:val="21"/>
          <w:szCs w:val="21"/>
        </w:rPr>
        <w:br/>
        <w:t>8) ковровых покрытий;</w:t>
      </w:r>
      <w:proofErr w:type="gramEnd"/>
      <w:r>
        <w:rPr>
          <w:rFonts w:ascii="Helvetica" w:hAnsi="Helvetica" w:cs="Helvetica"/>
          <w:color w:val="141823"/>
          <w:sz w:val="21"/>
          <w:szCs w:val="21"/>
        </w:rPr>
        <w:br/>
        <w:t xml:space="preserve">9) каналов инженерных систем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противодымной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защиты.</w:t>
      </w:r>
    </w:p>
    <w:p w:rsidR="00985F5A" w:rsidRDefault="00985F5A" w:rsidP="00985F5A">
      <w:pPr>
        <w:pStyle w:val="a6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Обязательному подтверждению в форме сертификации подлежат:</w:t>
      </w:r>
    </w:p>
    <w:p w:rsidR="00985F5A" w:rsidRDefault="00985F5A" w:rsidP="00985F5A">
      <w:pPr>
        <w:pStyle w:val="a6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1) переносных и передвижных огнетушителей;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2) пожарных стволов,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пеногенераторов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пеносмесителей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и пожарных рукавов;</w:t>
      </w:r>
      <w:r>
        <w:rPr>
          <w:rFonts w:ascii="Helvetica" w:hAnsi="Helvetica" w:cs="Helvetica"/>
          <w:color w:val="141823"/>
          <w:sz w:val="21"/>
          <w:szCs w:val="21"/>
        </w:rPr>
        <w:br/>
        <w:t>(в ред. Федерального закона от 10.07.2012 N 117-ФЗ)</w:t>
      </w:r>
      <w:r>
        <w:rPr>
          <w:rFonts w:ascii="Helvetica" w:hAnsi="Helvetica" w:cs="Helvetica"/>
          <w:color w:val="141823"/>
          <w:sz w:val="21"/>
          <w:szCs w:val="21"/>
        </w:rPr>
        <w:br/>
        <w:t>3) средств индивидуальной защиты людей при пожаре;</w:t>
      </w:r>
      <w:r>
        <w:rPr>
          <w:rFonts w:ascii="Helvetica" w:hAnsi="Helvetica" w:cs="Helvetica"/>
          <w:color w:val="141823"/>
          <w:sz w:val="21"/>
          <w:szCs w:val="21"/>
        </w:rPr>
        <w:br/>
        <w:t>4) сре</w:t>
      </w:r>
      <w:proofErr w:type="gramStart"/>
      <w:r>
        <w:rPr>
          <w:rFonts w:ascii="Helvetica" w:hAnsi="Helvetica" w:cs="Helvetica"/>
          <w:color w:val="141823"/>
          <w:sz w:val="21"/>
          <w:szCs w:val="21"/>
        </w:rPr>
        <w:t>дств сп</w:t>
      </w:r>
      <w:proofErr w:type="gramEnd"/>
      <w:r>
        <w:rPr>
          <w:rFonts w:ascii="Helvetica" w:hAnsi="Helvetica" w:cs="Helvetica"/>
          <w:color w:val="141823"/>
          <w:sz w:val="21"/>
          <w:szCs w:val="21"/>
        </w:rPr>
        <w:t>асения людей при пожаре;</w:t>
      </w:r>
      <w:r>
        <w:rPr>
          <w:rFonts w:ascii="Helvetica" w:hAnsi="Helvetica" w:cs="Helvetica"/>
          <w:color w:val="141823"/>
          <w:sz w:val="21"/>
          <w:szCs w:val="21"/>
        </w:rPr>
        <w:br/>
        <w:t>5) оборудования и изделий для спасания людей при пожаре;</w:t>
      </w:r>
      <w:r>
        <w:rPr>
          <w:rFonts w:ascii="Helvetica" w:hAnsi="Helvetica" w:cs="Helvetica"/>
          <w:color w:val="141823"/>
          <w:sz w:val="21"/>
          <w:szCs w:val="21"/>
        </w:rPr>
        <w:br/>
        <w:t>6) дополнительного снаряжения пожарных;</w:t>
      </w:r>
      <w:r>
        <w:rPr>
          <w:rFonts w:ascii="Helvetica" w:hAnsi="Helvetica" w:cs="Helvetica"/>
          <w:color w:val="141823"/>
          <w:sz w:val="21"/>
          <w:szCs w:val="21"/>
        </w:rPr>
        <w:br/>
      </w:r>
      <w:proofErr w:type="gramStart"/>
      <w:r>
        <w:rPr>
          <w:rFonts w:ascii="Helvetica" w:hAnsi="Helvetica" w:cs="Helvetica"/>
          <w:color w:val="141823"/>
          <w:sz w:val="21"/>
          <w:szCs w:val="21"/>
        </w:rPr>
        <w:t>7) порошковых огнетушащих составов, пенообразователей для тушения пожаров и огнетушащих жидкостей (за исключением воды);</w:t>
      </w:r>
      <w:r>
        <w:rPr>
          <w:rFonts w:ascii="Helvetica" w:hAnsi="Helvetica" w:cs="Helvetica"/>
          <w:color w:val="141823"/>
          <w:sz w:val="21"/>
          <w:szCs w:val="21"/>
        </w:rPr>
        <w:br/>
        <w:t>(в ред. Федерального закона от 10.07.2012 N 117-ФЗ)</w:t>
      </w:r>
      <w:r>
        <w:rPr>
          <w:rFonts w:ascii="Helvetica" w:hAnsi="Helvetica" w:cs="Helvetica"/>
          <w:color w:val="141823"/>
          <w:sz w:val="21"/>
          <w:szCs w:val="21"/>
        </w:rPr>
        <w:br/>
        <w:t>8) средств пожарной автоматики;</w:t>
      </w:r>
      <w:r>
        <w:rPr>
          <w:rFonts w:ascii="Helvetica" w:hAnsi="Helvetica" w:cs="Helvetica"/>
          <w:color w:val="141823"/>
          <w:sz w:val="21"/>
          <w:szCs w:val="21"/>
        </w:rPr>
        <w:br/>
        <w:t>9) аппаратов защиты электрических цепей;</w:t>
      </w:r>
      <w:r>
        <w:rPr>
          <w:rFonts w:ascii="Helvetica" w:hAnsi="Helvetica" w:cs="Helvetica"/>
          <w:color w:val="141823"/>
          <w:sz w:val="21"/>
          <w:szCs w:val="21"/>
        </w:rPr>
        <w:br/>
        <w:t>10) строительных материалов, применяемых для отделки путей эвакуации людей непосредственно наружу или в безопасную зону;</w:t>
      </w:r>
      <w:r>
        <w:rPr>
          <w:rFonts w:ascii="Helvetica" w:hAnsi="Helvetica" w:cs="Helvetica"/>
          <w:color w:val="141823"/>
          <w:sz w:val="21"/>
          <w:szCs w:val="21"/>
        </w:rPr>
        <w:br/>
        <w:t>11) отделочных материалов для подвижного состава железнодорожного транспорта и метрополитена;</w:t>
      </w:r>
      <w:proofErr w:type="gramEnd"/>
      <w:r>
        <w:rPr>
          <w:rFonts w:ascii="Helvetica" w:hAnsi="Helvetica" w:cs="Helvetica"/>
          <w:color w:val="141823"/>
          <w:sz w:val="21"/>
          <w:szCs w:val="21"/>
        </w:rPr>
        <w:br/>
      </w:r>
      <w:proofErr w:type="gramStart"/>
      <w:r>
        <w:rPr>
          <w:rFonts w:ascii="Helvetica" w:hAnsi="Helvetica" w:cs="Helvetica"/>
          <w:color w:val="141823"/>
          <w:sz w:val="21"/>
          <w:szCs w:val="21"/>
        </w:rPr>
        <w:t>12) средств огнезащиты;</w:t>
      </w:r>
      <w:r>
        <w:rPr>
          <w:rFonts w:ascii="Helvetica" w:hAnsi="Helvetica" w:cs="Helvetica"/>
          <w:color w:val="141823"/>
          <w:sz w:val="21"/>
          <w:szCs w:val="21"/>
        </w:rPr>
        <w:br/>
        <w:t>13) конструкций заполнений проемов в противопожарных преградах, кабельных проходок, кабельных коробов, каналов и труб из полимерных материалов для прокладки кабелей, герметичных кабельных вводов;</w:t>
      </w:r>
      <w:r>
        <w:rPr>
          <w:rFonts w:ascii="Helvetica" w:hAnsi="Helvetica" w:cs="Helvetica"/>
          <w:color w:val="141823"/>
          <w:sz w:val="21"/>
          <w:szCs w:val="21"/>
        </w:rPr>
        <w:br/>
        <w:t>(п. 13 в ред. Федерального закона от 10.07.2012 N 117-ФЗ)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14) инженерного оборудования систем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противодымной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защиты, за исключением каналов инженерных систем;</w:t>
      </w:r>
      <w:r>
        <w:rPr>
          <w:rFonts w:ascii="Helvetica" w:hAnsi="Helvetica" w:cs="Helvetica"/>
          <w:color w:val="141823"/>
          <w:sz w:val="21"/>
          <w:szCs w:val="21"/>
        </w:rPr>
        <w:br/>
        <w:t>15) дверей шахт лифтов;</w:t>
      </w:r>
      <w:proofErr w:type="gramEnd"/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</w:rPr>
        <w:lastRenderedPageBreak/>
        <w:t>16) кабельных изделий, к которым предъявляются требования пожарной безопасности:</w:t>
      </w:r>
      <w:r>
        <w:rPr>
          <w:rFonts w:ascii="Helvetica" w:hAnsi="Helvetica" w:cs="Helvetica"/>
          <w:color w:val="141823"/>
          <w:sz w:val="21"/>
          <w:szCs w:val="21"/>
        </w:rPr>
        <w:br/>
        <w:t>а) кабелей и проводов, не распространяющих горение при одиночной и (или) групповой прокладках;</w:t>
      </w:r>
      <w:r>
        <w:rPr>
          <w:rFonts w:ascii="Helvetica" w:hAnsi="Helvetica" w:cs="Helvetica"/>
          <w:color w:val="141823"/>
          <w:sz w:val="21"/>
          <w:szCs w:val="21"/>
        </w:rPr>
        <w:br/>
        <w:t>б) кабелей огнестойких;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в) кабелей с пониженным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дым</w:t>
      </w:r>
      <w:proofErr w:type="gramStart"/>
      <w:r>
        <w:rPr>
          <w:rFonts w:ascii="Helvetica" w:hAnsi="Helvetica" w:cs="Helvetica"/>
          <w:color w:val="141823"/>
          <w:sz w:val="21"/>
          <w:szCs w:val="21"/>
        </w:rPr>
        <w:t>о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>-</w:t>
      </w:r>
      <w:proofErr w:type="gramEnd"/>
      <w:r>
        <w:rPr>
          <w:rFonts w:ascii="Helvetica" w:hAnsi="Helvetica" w:cs="Helvetica"/>
          <w:color w:val="141823"/>
          <w:sz w:val="21"/>
          <w:szCs w:val="21"/>
        </w:rPr>
        <w:t xml:space="preserve"> и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газовыделением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>;</w:t>
      </w:r>
      <w:r>
        <w:rPr>
          <w:rFonts w:ascii="Helvetica" w:hAnsi="Helvetica" w:cs="Helvetica"/>
          <w:color w:val="141823"/>
          <w:sz w:val="21"/>
          <w:szCs w:val="21"/>
        </w:rPr>
        <w:br/>
        <w:t>(п. 16 в ред. Федерального закона от 10.07.2012 N 117-ФЗ)</w:t>
      </w:r>
      <w:r>
        <w:rPr>
          <w:rFonts w:ascii="Helvetica" w:hAnsi="Helvetica" w:cs="Helvetica"/>
          <w:color w:val="141823"/>
          <w:sz w:val="21"/>
          <w:szCs w:val="21"/>
        </w:rPr>
        <w:br/>
        <w:t>17) элементов автоматических установок пожаротушения;</w:t>
      </w:r>
      <w:r>
        <w:rPr>
          <w:rFonts w:ascii="Helvetica" w:hAnsi="Helvetica" w:cs="Helvetica"/>
          <w:color w:val="141823"/>
          <w:sz w:val="21"/>
          <w:szCs w:val="21"/>
        </w:rPr>
        <w:br/>
        <w:t>18) автономных установок пожаротушения.</w:t>
      </w:r>
    </w:p>
    <w:p w:rsidR="00985F5A" w:rsidRDefault="00985F5A" w:rsidP="00985F5A">
      <w:pPr>
        <w:pStyle w:val="a6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br/>
        <w:t>1. Для продукции подлежащей сертификации (декларированию)</w:t>
      </w:r>
    </w:p>
    <w:p w:rsidR="00985F5A" w:rsidRDefault="00985F5A" w:rsidP="00985F5A">
      <w:pPr>
        <w:pStyle w:val="a6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 xml:space="preserve">1.1 Проверяется наличие сертификата соответствия или декларации соответствия на продукцию подлежащую обязательному подтверждению согласно статьи 146 </w:t>
      </w:r>
      <w:proofErr w:type="gramStart"/>
      <w:r>
        <w:rPr>
          <w:rFonts w:ascii="Helvetica" w:hAnsi="Helvetica" w:cs="Helvetica"/>
          <w:color w:val="141823"/>
          <w:sz w:val="21"/>
          <w:szCs w:val="21"/>
        </w:rPr>
        <w:t>ТР</w:t>
      </w:r>
      <w:proofErr w:type="gramEnd"/>
      <w:r>
        <w:rPr>
          <w:rFonts w:ascii="Helvetica" w:hAnsi="Helvetica" w:cs="Helvetica"/>
          <w:color w:val="141823"/>
          <w:sz w:val="21"/>
          <w:szCs w:val="21"/>
        </w:rPr>
        <w:t xml:space="preserve"> о ПБ) (основание часть 1 статьи 34 ФЕДЕРАЛЬНЫЙ ЗАКОН «О ТЕХНИЧЕСКОМ РЕГУЛИРОВАНИИ № 184-ФЗ» от 27 декабря 2002 года).</w:t>
      </w:r>
    </w:p>
    <w:p w:rsidR="00985F5A" w:rsidRDefault="00985F5A" w:rsidP="00985F5A">
      <w:pPr>
        <w:pStyle w:val="a6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1.2</w:t>
      </w:r>
      <w:proofErr w:type="gramStart"/>
      <w:r>
        <w:rPr>
          <w:rFonts w:ascii="Helvetica" w:hAnsi="Helvetica" w:cs="Helvetica"/>
          <w:color w:val="141823"/>
          <w:sz w:val="21"/>
          <w:szCs w:val="21"/>
        </w:rPr>
        <w:t xml:space="preserve"> П</w:t>
      </w:r>
      <w:proofErr w:type="gramEnd"/>
      <w:r>
        <w:rPr>
          <w:rFonts w:ascii="Helvetica" w:hAnsi="Helvetica" w:cs="Helvetica"/>
          <w:color w:val="141823"/>
          <w:sz w:val="21"/>
          <w:szCs w:val="21"/>
        </w:rPr>
        <w:t>роверяется соблюдение правил проведения сертификации:</w:t>
      </w:r>
    </w:p>
    <w:p w:rsidR="00985F5A" w:rsidRDefault="00985F5A" w:rsidP="00985F5A">
      <w:pPr>
        <w:pStyle w:val="a6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proofErr w:type="spellStart"/>
      <w:r>
        <w:rPr>
          <w:rFonts w:ascii="Helvetica" w:hAnsi="Helvetica" w:cs="Helvetica"/>
          <w:color w:val="141823"/>
          <w:sz w:val="21"/>
          <w:szCs w:val="21"/>
        </w:rPr>
        <w:t>a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>. сверяется предоставляемый сертификат (декларация) соответствия с производимой (хранимой) реализуемой продукцией;</w:t>
      </w:r>
    </w:p>
    <w:p w:rsidR="00985F5A" w:rsidRDefault="00985F5A" w:rsidP="00985F5A">
      <w:pPr>
        <w:pStyle w:val="a6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proofErr w:type="spellStart"/>
      <w:r>
        <w:rPr>
          <w:rFonts w:ascii="Helvetica" w:hAnsi="Helvetica" w:cs="Helvetica"/>
          <w:color w:val="141823"/>
          <w:sz w:val="21"/>
          <w:szCs w:val="21"/>
        </w:rPr>
        <w:t>b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>. проверяются сроки действия сертификатов (декларации) соответствия;</w:t>
      </w:r>
    </w:p>
    <w:p w:rsidR="00985F5A" w:rsidRDefault="00985F5A" w:rsidP="00985F5A">
      <w:pPr>
        <w:pStyle w:val="a6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proofErr w:type="spellStart"/>
      <w:r>
        <w:rPr>
          <w:rFonts w:ascii="Helvetica" w:hAnsi="Helvetica" w:cs="Helvetica"/>
          <w:color w:val="141823"/>
          <w:sz w:val="21"/>
          <w:szCs w:val="21"/>
        </w:rPr>
        <w:t>c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. проверяется наличие знака обращения на рынке на продукции прошедшей обязательное подтверждение соответствие </w:t>
      </w:r>
      <w:proofErr w:type="gramStart"/>
      <w:r>
        <w:rPr>
          <w:rFonts w:ascii="Helvetica" w:hAnsi="Helvetica" w:cs="Helvetica"/>
          <w:color w:val="141823"/>
          <w:sz w:val="21"/>
          <w:szCs w:val="21"/>
        </w:rPr>
        <w:t>ТР</w:t>
      </w:r>
      <w:proofErr w:type="gramEnd"/>
      <w:r>
        <w:rPr>
          <w:rFonts w:ascii="Helvetica" w:hAnsi="Helvetica" w:cs="Helvetica"/>
          <w:color w:val="141823"/>
          <w:sz w:val="21"/>
          <w:szCs w:val="21"/>
        </w:rPr>
        <w:t xml:space="preserve"> о ПБ и (или) на ее упаковке (таре), а также в сопроводительной технической документации (согласно Постановлении правительства РФ от 19.11.03 №696 «О знаке обращения на рынке»);</w:t>
      </w:r>
    </w:p>
    <w:p w:rsidR="00985F5A" w:rsidRDefault="00985F5A" w:rsidP="00985F5A">
      <w:pPr>
        <w:pStyle w:val="a6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proofErr w:type="spellStart"/>
      <w:r>
        <w:rPr>
          <w:rFonts w:ascii="Helvetica" w:hAnsi="Helvetica" w:cs="Helvetica"/>
          <w:color w:val="141823"/>
          <w:sz w:val="21"/>
          <w:szCs w:val="21"/>
        </w:rPr>
        <w:t>d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>. в сертификате соответствия на средства огнезащиты проверяется в графе «Наименование» наличие:</w:t>
      </w:r>
    </w:p>
    <w:p w:rsidR="00985F5A" w:rsidRDefault="00985F5A" w:rsidP="00985F5A">
      <w:pPr>
        <w:pStyle w:val="a6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- Наименование средства огнезащиты;</w:t>
      </w:r>
    </w:p>
    <w:p w:rsidR="00985F5A" w:rsidRDefault="00985F5A" w:rsidP="00985F5A">
      <w:pPr>
        <w:pStyle w:val="a6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- Значение огнезащитной эффективности, установленное при испытаниях;</w:t>
      </w:r>
    </w:p>
    <w:p w:rsidR="00985F5A" w:rsidRDefault="00985F5A" w:rsidP="00985F5A">
      <w:pPr>
        <w:pStyle w:val="a6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- Виды, марки, толщина слоев грунтовых, декоративных или атмосфероустойчивых покрытий, используемых в комбинации с данными средствами огнезащиты при сертификационных испытаниях;</w:t>
      </w:r>
    </w:p>
    <w:p w:rsidR="00985F5A" w:rsidRDefault="00985F5A" w:rsidP="00985F5A">
      <w:pPr>
        <w:pStyle w:val="a6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- Толщина огнезащитного покрытия средств огнезащиты для установленной огнезащитной эффективности.</w:t>
      </w:r>
    </w:p>
    <w:p w:rsidR="00985F5A" w:rsidRDefault="00985F5A" w:rsidP="00985F5A">
      <w:pPr>
        <w:pStyle w:val="a6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2. Для продукции подлежащей сертификации (декларированию) и другие вещества и материалы</w:t>
      </w:r>
    </w:p>
    <w:p w:rsidR="00985F5A" w:rsidRDefault="00985F5A" w:rsidP="00985F5A">
      <w:pPr>
        <w:pStyle w:val="a6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 xml:space="preserve">2.1 Проверяется наличие в технической документации на вещества, строительные, кожевенные, и текстильные материалы (паспорт, сертификат (декларация) соответствия, вкладыш, технические условия, инструкция, лейбл и т.д. в любом из перечисленных…) отображение показателей пожарной опасности ( основание - статья 133, статья 134, статья 135, статья 136 </w:t>
      </w:r>
      <w:proofErr w:type="gramStart"/>
      <w:r>
        <w:rPr>
          <w:rFonts w:ascii="Helvetica" w:hAnsi="Helvetica" w:cs="Helvetica"/>
          <w:color w:val="141823"/>
          <w:sz w:val="21"/>
          <w:szCs w:val="21"/>
        </w:rPr>
        <w:t>ТР</w:t>
      </w:r>
      <w:proofErr w:type="gramEnd"/>
      <w:r>
        <w:rPr>
          <w:rFonts w:ascii="Helvetica" w:hAnsi="Helvetica" w:cs="Helvetica"/>
          <w:color w:val="141823"/>
          <w:sz w:val="21"/>
          <w:szCs w:val="21"/>
        </w:rPr>
        <w:t xml:space="preserve"> о ПБ),</w:t>
      </w:r>
    </w:p>
    <w:p w:rsidR="00985F5A" w:rsidRPr="00EF091F" w:rsidRDefault="00985F5A" w:rsidP="00985F5A">
      <w:pPr>
        <w:rPr>
          <w:b/>
          <w:sz w:val="28"/>
          <w:szCs w:val="28"/>
        </w:rPr>
      </w:pPr>
      <w:r w:rsidRPr="00EF091F">
        <w:rPr>
          <w:b/>
          <w:sz w:val="28"/>
          <w:szCs w:val="28"/>
        </w:rPr>
        <w:t>ОНД по Чистоозерному району.</w:t>
      </w:r>
    </w:p>
    <w:p w:rsidR="00AF1B59" w:rsidRPr="009B16F7" w:rsidRDefault="00AF1B59" w:rsidP="009B16F7">
      <w:pPr>
        <w:rPr>
          <w:b/>
          <w:szCs w:val="28"/>
        </w:rPr>
      </w:pPr>
    </w:p>
    <w:sectPr w:rsidR="00AF1B59" w:rsidRPr="009B16F7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26C72"/>
    <w:multiLevelType w:val="hybridMultilevel"/>
    <w:tmpl w:val="675E10B0"/>
    <w:lvl w:ilvl="0" w:tplc="462218C4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C2D3FC6"/>
    <w:multiLevelType w:val="hybridMultilevel"/>
    <w:tmpl w:val="05D8817E"/>
    <w:lvl w:ilvl="0" w:tplc="A77E2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A46E74"/>
    <w:multiLevelType w:val="hybridMultilevel"/>
    <w:tmpl w:val="F6224264"/>
    <w:lvl w:ilvl="0" w:tplc="1C60F7B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54C70A5"/>
    <w:multiLevelType w:val="hybridMultilevel"/>
    <w:tmpl w:val="4BFE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32C13"/>
    <w:multiLevelType w:val="hybridMultilevel"/>
    <w:tmpl w:val="CD9C5754"/>
    <w:lvl w:ilvl="0" w:tplc="ABB82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D7B7E"/>
    <w:multiLevelType w:val="hybridMultilevel"/>
    <w:tmpl w:val="7D3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F1B59"/>
    <w:rsid w:val="0010275D"/>
    <w:rsid w:val="00152D81"/>
    <w:rsid w:val="002F0EEA"/>
    <w:rsid w:val="004508F0"/>
    <w:rsid w:val="0047239D"/>
    <w:rsid w:val="004C49AC"/>
    <w:rsid w:val="00530C21"/>
    <w:rsid w:val="006469EF"/>
    <w:rsid w:val="006F2C71"/>
    <w:rsid w:val="0083646E"/>
    <w:rsid w:val="00893718"/>
    <w:rsid w:val="008D3470"/>
    <w:rsid w:val="00985F5A"/>
    <w:rsid w:val="009B16F7"/>
    <w:rsid w:val="009B66B0"/>
    <w:rsid w:val="00AF1B59"/>
    <w:rsid w:val="00BA1DA3"/>
    <w:rsid w:val="00BB16BE"/>
    <w:rsid w:val="00C649C5"/>
    <w:rsid w:val="00C923F4"/>
    <w:rsid w:val="00CA6A60"/>
    <w:rsid w:val="00DC696D"/>
    <w:rsid w:val="00EA4A18"/>
    <w:rsid w:val="00EB0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iPriority w:val="99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Шапаренко </cp:lastModifiedBy>
  <cp:revision>2</cp:revision>
  <cp:lastPrinted>2014-11-24T10:32:00Z</cp:lastPrinted>
  <dcterms:created xsi:type="dcterms:W3CDTF">2014-11-24T10:25:00Z</dcterms:created>
  <dcterms:modified xsi:type="dcterms:W3CDTF">2014-11-24T10:32:00Z</dcterms:modified>
</cp:coreProperties>
</file>